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</w:rPr>
        <w:drawing>
          <wp:inline distB="114300" distT="114300" distL="114300" distR="114300">
            <wp:extent cx="1385888" cy="11715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Pablo A. T. Rodrigues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Brasileiro, Solteiro, 28 anos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Magé,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(21) 97639-9530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pablobibis@gmail.com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0"/>
      <w:bookmarkEnd w:id="0"/>
      <w:r w:rsidDel="00000000" w:rsidR="00000000" w:rsidRPr="00000000">
        <w:rPr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Atuar na área contábil, administração, projetos, ou similares.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790.6299212598418" w:hanging="360"/>
        <w:rPr>
          <w:u w:val="none"/>
        </w:rPr>
      </w:pPr>
      <w:r w:rsidDel="00000000" w:rsidR="00000000" w:rsidRPr="00000000">
        <w:rPr>
          <w:rtl w:val="0"/>
        </w:rPr>
        <w:t xml:space="preserve">Desenvolver nessas áreas.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1"/>
      <w:bookmarkEnd w:id="1"/>
      <w:r w:rsidDel="00000000" w:rsidR="00000000" w:rsidRPr="00000000">
        <w:rPr>
          <w:rtl w:val="0"/>
        </w:rPr>
        <w:t xml:space="preserve">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2"/>
      <w:bookmarkEnd w:id="2"/>
      <w:r w:rsidDel="00000000" w:rsidR="00000000" w:rsidRPr="00000000">
        <w:rPr>
          <w:rtl w:val="0"/>
        </w:rPr>
        <w:t xml:space="preserve">Professor de música / saxofone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 2018 - Dez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3"/>
      <w:bookmarkEnd w:id="3"/>
      <w:r w:rsidDel="00000000" w:rsidR="00000000" w:rsidRPr="00000000">
        <w:rPr>
          <w:rtl w:val="0"/>
        </w:rPr>
        <w:t xml:space="preserve">Assomei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Magé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auxiliar administrativo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set 2022 - jan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Responsável pelos lançamentos contábeis.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Entrada e saída de empresas no sistema do escritório.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4"/>
      <w:bookmarkEnd w:id="4"/>
      <w:r w:rsidDel="00000000" w:rsidR="00000000" w:rsidRPr="00000000">
        <w:rPr>
          <w:rtl w:val="0"/>
        </w:rPr>
        <w:t xml:space="preserve">Formação Superior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5"/>
      <w:bookmarkEnd w:id="5"/>
      <w:r w:rsidDel="00000000" w:rsidR="00000000" w:rsidRPr="00000000">
        <w:rPr>
          <w:rtl w:val="0"/>
        </w:rPr>
        <w:t xml:space="preserve">Formado em Ciências Contábeis - Unopar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 2019 - Dez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/>
      </w:pPr>
      <w:bookmarkStart w:colFirst="0" w:colLast="0" w:name="_i5zx35sr78g2" w:id="6"/>
      <w:bookmarkEnd w:id="6"/>
      <w:r w:rsidDel="00000000" w:rsidR="00000000" w:rsidRPr="00000000">
        <w:rPr>
          <w:rtl w:val="0"/>
        </w:rPr>
        <w:t xml:space="preserve">Cursando Análise Desenvolvimento de Sistemas - Estácio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 2023 - Trancado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rPr/>
      </w:pPr>
      <w:bookmarkStart w:colFirst="0" w:colLast="0" w:name="_knrmqb6qmrhs" w:id="7"/>
      <w:bookmarkEnd w:id="7"/>
      <w:r w:rsidDel="00000000" w:rsidR="00000000" w:rsidRPr="00000000">
        <w:rPr>
          <w:rtl w:val="0"/>
        </w:rPr>
        <w:t xml:space="preserve">Habilidades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Trabalho em equipe, e outras 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Inglês - Básico / Espanhol - intermediário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Habilitação categoria B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</w:rPr>
      </w:pPr>
      <w:bookmarkStart w:colFirst="0" w:colLast="0" w:name="_3hy8rkwzatey" w:id="8"/>
      <w:bookmarkEnd w:id="8"/>
      <w:r w:rsidDel="00000000" w:rsidR="00000000" w:rsidRPr="00000000">
        <w:rPr>
          <w:rtl w:val="0"/>
        </w:rPr>
        <w:t xml:space="preserve">Cursos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Controladoria  (Fevereiro/2024)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Administração e planejamento de serviço social, Unopar (junho/2020) -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concluída.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Comunicação de marketing em meios digitais , Unopar (junho/2020) - concluída.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Direito econômico , Unopar (junho/2020) - concluída.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Empreendedorismo e inovação , Unopar (junho/2020) - concluída.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Geografia econômica , Unopar (junho/2020) - concluída.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Geografia política , Unopar (junho/2020) - concluída.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Geografia urbana , Unopar (junho/2020) - concluída.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Gerenciamento e controle de qualidade , Unopar (junho/2020) - concluída.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da comunicação , Unopar (junho/2020) - concluída.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de operações e serviços , Unopar (junho/2020) - concluída.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de planejamento de mídia , Unopar (junho/2020) - concluída.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Mercado bancário e defesa da concorrência , Unopar (junho/2020) - concluída.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Mercado de capitais , Unopar (junho/2020) - concluída.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Processo da criatividade , Unopar (junho/2020) - concluída.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Serviço social e terceiro setor , Unopar (junho/2020) - concluída.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Planejamento tributário, cursos livres (fevereiro/2020) - concluída.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Administração financeira, Cursos livres (agosto/2019) - concluída.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440" w:right="1729.1338582677172" w:header="0" w:footer="720"/>
      <w:pgNumType w:start="1"/>
      <w:cols w:equalWidth="0" w:num="2">
        <w:col w:space="720" w:w="4175.42"/>
        <w:col w:space="0" w:w="4175.4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pt_BR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