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Gabriel Nascimento Costa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Nascimento: 16/01/1997 / Estado Civil: Solteiro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E-mail: Gabrielnascimentocosta74@gmail.com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Endereço: Av. do canal N°15, Heliópolis, Belford Roxo - RJ.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Whatsapp.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Claro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(21) 976532860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shd w:fill="a6a6a6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6a6a6" w:val="clear"/>
          <w:rtl w:val="0"/>
        </w:rPr>
        <w:t xml:space="preserve">Escolaridade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shd w:fill="a6a6a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Médio – completo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hd w:fill="a6a6a6" w:val="clear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shd w:fill="a6a6a6" w:val="clear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Asg – Empresa: Agp soluções – Duração: 03/2017 a 06/2018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Estoquista – Empresa: Superkibarato LTDA – Duração:02/2021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ahoma" w:cs="Tahoma" w:eastAsia="Tahoma" w:hAnsi="Tahoma"/>
          <w:b w:val="1"/>
          <w:color w:val="222222"/>
          <w:sz w:val="24"/>
          <w:szCs w:val="24"/>
          <w:shd w:fill="a6a6a6" w:val="clear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sz w:val="24"/>
          <w:szCs w:val="24"/>
          <w:shd w:fill="a6a6a6" w:val="clear"/>
          <w:rtl w:val="0"/>
        </w:rPr>
        <w:t xml:space="preserve">Cursos Extras Curriculares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ahoma" w:cs="Tahoma" w:eastAsia="Tahoma" w:hAnsi="Tahoma"/>
          <w:b w:val="1"/>
          <w:color w:val="222222"/>
          <w:sz w:val="24"/>
          <w:szCs w:val="24"/>
          <w:shd w:fill="a6a6a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Eletricista predial de baixa tensão – Faect - 2016</w:t>
      </w:r>
    </w:p>
    <w:p w:rsidR="00000000" w:rsidDel="00000000" w:rsidP="00000000" w:rsidRDefault="00000000" w:rsidRPr="00000000" w14:paraId="00000016">
      <w:pPr>
        <w:tabs>
          <w:tab w:val="left" w:leader="none" w:pos="5535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